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BE5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36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Toc166522198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后勤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保障与资产运营中心处务会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会议制度及议事规则</w:t>
      </w:r>
      <w:bookmarkEnd w:id="0"/>
    </w:p>
    <w:p w14:paraId="6FE68170">
      <w:pPr>
        <w:rPr>
          <w:rFonts w:hint="eastAsia"/>
        </w:rPr>
      </w:pPr>
    </w:p>
    <w:p w14:paraId="3AEB337A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13" w:firstLineChars="10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3E3E3E"/>
          <w:sz w:val="32"/>
          <w:szCs w:val="32"/>
        </w:rPr>
      </w:pPr>
      <w:bookmarkStart w:id="1" w:name="_GoBack"/>
      <w:bookmarkEnd w:id="1"/>
      <w:r>
        <w:rPr>
          <w:rStyle w:val="8"/>
          <w:rFonts w:hint="eastAsia" w:ascii="仿宋_GB2312" w:hAnsi="仿宋_GB2312" w:eastAsia="仿宋_GB2312" w:cs="仿宋_GB2312"/>
          <w:b/>
          <w:bCs w:val="0"/>
          <w:color w:val="3E3E3E"/>
          <w:sz w:val="32"/>
          <w:szCs w:val="32"/>
        </w:rPr>
        <w:t>第一章 总 则</w:t>
      </w:r>
    </w:p>
    <w:p w14:paraId="67EA16BB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 xml:space="preserve">第一条 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为坚持和健全民主集中制，提高工作效能，规范议事办事程序，按照学校有关规定，结合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后勤保障与资产运营中心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实际，制定本会议制度和议事规则。</w:t>
      </w:r>
    </w:p>
    <w:p w14:paraId="32683D5F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 xml:space="preserve">第二条 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后勤保障与资产运营中心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处务会是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后勤保障与资产运营中心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行政议事决策机构，主要研究提出拟由处务会讨论决定的重要事项，具体部署落实学院党委、行政决议的有关措施、计划，研究处理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后勤保障与资产运营中心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的全面工作。</w:t>
      </w:r>
    </w:p>
    <w:p w14:paraId="3F7315D7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坚持集体领导和个人分工负责相结合，实行集体领导、民主集中、个别酝酿、会议决定。</w:t>
      </w:r>
    </w:p>
    <w:p w14:paraId="5A240A1B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891" w:firstLineChars="900"/>
        <w:jc w:val="both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第二章 会议制度</w:t>
      </w:r>
    </w:p>
    <w:p w14:paraId="66464B81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 xml:space="preserve">第四条 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处务会一般每周一举行一次，如遇特殊情况可以临时举行。会议由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召集和主持。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不能出席会议时，可委托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召集和主持。</w:t>
      </w:r>
    </w:p>
    <w:p w14:paraId="324A7567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处务会会议成员为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后勤保障与资产运营中心主任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中心副主任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、各科室负责人。会议须有半数以上成员到会方能召开。因故不能出席会议的成员应向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或委托主持会议的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中心副主任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请假。可视议题情况扩大参加会议人员范围。</w:t>
      </w:r>
    </w:p>
    <w:p w14:paraId="7301E0C2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处务会的会务工作由综合科负责，提前将会议日期、时间和议题通知与会人员，根据会议内容，必要时须形成会议纪要，会议纪要由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签发。</w:t>
      </w:r>
    </w:p>
    <w:p w14:paraId="4D4C288F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3213" w:firstLineChars="1000"/>
        <w:jc w:val="both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第三章 会议议题</w:t>
      </w:r>
    </w:p>
    <w:p w14:paraId="0B759505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处务会的议题分为审议性议题和通报性议题两类。审议性议题为拟提交处务会讨论决定的部署落实党委、行政的有关决议及其它事项；通报性议题为重要事项报告或工作情况汇报。</w:t>
      </w:r>
    </w:p>
    <w:p w14:paraId="26E7A815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处务会议题的范围</w:t>
      </w:r>
    </w:p>
    <w:p w14:paraId="6DF99BBF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贯彻落实学校党委和行政的部署和计划。</w:t>
      </w:r>
    </w:p>
    <w:p w14:paraId="27D5C4A9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讨论研究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后勤保障与资产运营中心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发展规划、重大改革方案、年度工作计划、学期工作安排、年终工作总结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物资处置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日常重要工作，向上级和学校汇报的重要请示、报告等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。</w:t>
      </w:r>
    </w:p>
    <w:p w14:paraId="0328F82B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讨论决定经费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预算及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使用方案和人员调整方案等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。</w:t>
      </w:r>
    </w:p>
    <w:p w14:paraId="40B7D3C7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讨论决定物资采购、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各项后勤保障服务费支付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等资金使用项目。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 xml:space="preserve">             </w:t>
      </w:r>
    </w:p>
    <w:p w14:paraId="24D60B18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讨论决定对外有关协议、合同的订立；招投标项目的实施及服务外包项目等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 xml:space="preserve"> </w:t>
      </w:r>
    </w:p>
    <w:p w14:paraId="12F62CC1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后勤保障与资产运营中心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其他需要处务会研究解决的问题。</w:t>
      </w:r>
    </w:p>
    <w:p w14:paraId="082C4171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通报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后勤保障与资产运营中心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及各科室有关重要事项进展情况。</w:t>
      </w:r>
    </w:p>
    <w:p w14:paraId="62FF4377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jc w:val="center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第四章 议题提出</w:t>
      </w:r>
    </w:p>
    <w:p w14:paraId="7BA9E230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第九条 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处务会议题由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后勤保障与资产运营中心主任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确定。处务会成员和其他有关方面需要提交处务会讨论的问题，由综合科汇总后报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审定。</w:t>
      </w:r>
    </w:p>
    <w:p w14:paraId="18BA1A92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处务会讨论有关重要问题时，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中心副主任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或相关科室负责人应在会前进行沟通。</w:t>
      </w:r>
    </w:p>
    <w:p w14:paraId="2A60B459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提请处务会研究决定的审议性议题，应提供与议题相关的建议方案及说明材料（议题材料）。并符合以下条件：</w:t>
      </w:r>
    </w:p>
    <w:p w14:paraId="6D11194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议题内容涉及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个科室的，应在提交议题前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经中心分管副主任审核、报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同意后方能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上会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。</w:t>
      </w:r>
    </w:p>
    <w:p w14:paraId="79086A0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（二）议题内容涉及多个科室的，应在提交议题前由主办科室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有关科室进行沟通、协调，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意见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同意方能上会。</w:t>
      </w:r>
    </w:p>
    <w:p w14:paraId="49A390F7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议题中提出的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建议方案应经必要的程序进行系统的调查研究、利弊权衡、方案比选、科学论证，对于可供选择的方案应明确意见。</w:t>
      </w:r>
    </w:p>
    <w:p w14:paraId="57FFF057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）涉及法律、法规问题或对外签署协议事项，根据事项需要应事先提交学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法律顾问审签。</w:t>
      </w:r>
    </w:p>
    <w:p w14:paraId="50DDE424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提交处务会的通报性议题，原则上只限于涉及学校工作的重要事项报告或专项工作汇报。</w:t>
      </w:r>
    </w:p>
    <w:p w14:paraId="01A43920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下列事项不列入处务会议题</w:t>
      </w:r>
    </w:p>
    <w:p w14:paraId="62419013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前置程序没有完成、相关情况不清或缺乏论证的审议性事项。</w:t>
      </w:r>
    </w:p>
    <w:p w14:paraId="58A967ED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议题材料应于会议召开一个工作日前送综合科汇总，报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授权的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中心副主任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审定。</w:t>
      </w:r>
    </w:p>
    <w:p w14:paraId="0E411B43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议题材料应严谨简洁、重点突出、实事求是，具有参考价值，有利于会议研究和决策。</w:t>
      </w:r>
    </w:p>
    <w:p w14:paraId="0ED6F2A8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jc w:val="center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第五章 议题审议</w:t>
      </w:r>
    </w:p>
    <w:p w14:paraId="63BC7417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审议性议题一般应由科室负责在会上报告。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授权的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中心副主任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按照民主集中制原则，在广泛听取与会人员意见基础上，对讨论研究的事项作出决定。</w:t>
      </w:r>
    </w:p>
    <w:p w14:paraId="7C4824EB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审议性议题一般应在科室负责人到会的情况下研究。</w:t>
      </w:r>
    </w:p>
    <w:p w14:paraId="7C07DB0B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处务会应严格按照预定议题进行。预先未列入会议的议题，一般不得临时动议，特别是不得临时提出审议性议题。如确需临时增加议题，应征得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授权的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中心副主任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同意。</w:t>
      </w:r>
    </w:p>
    <w:p w14:paraId="3AC13671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议题的审议过程由会议主持人决定。议题汇报要准确、简练，不涉及与议题无关的内容。会议讨论时，发言应围绕议题，言简意赅，不提出或议论与议题无关的内容。</w:t>
      </w:r>
    </w:p>
    <w:p w14:paraId="669464C4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对于审议性事项，经会议充分讨论后，会议主持人应做出明确结论，并确定工作落实科室和责任人。如会议意见分歧较大需再行研究时，可暂不作出决定，待条件成熟时再提出审议，但应有明确说明。</w:t>
      </w:r>
    </w:p>
    <w:p w14:paraId="0C16ACEC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处务会的议题、审议内容、讨论过程和决定事项，在按规定程序公布之前，与会人员不得泄漏。否则，将追究有关人员的责任。</w:t>
      </w:r>
    </w:p>
    <w:p w14:paraId="4CD72337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jc w:val="center"/>
        <w:textAlignment w:val="auto"/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 xml:space="preserve">第六章  督办落实 </w:t>
      </w:r>
    </w:p>
    <w:p w14:paraId="4D8AE647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处务会形成的决定，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后勤保障与资产运营中心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处务会成员必须维护和执行。会议决定的重要事项，各科室负责人应按照责任分工认真贯彻落实。</w:t>
      </w:r>
    </w:p>
    <w:p w14:paraId="0193E43A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处务会的决定一经作出，不得随意变更。对会议决定的事项如需变更、调整，须经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同意，由处务会复议后可重新决定。如遇紧急情况时，以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中心主任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意见为准。</w:t>
      </w:r>
    </w:p>
    <w:p w14:paraId="7B2D9B18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综合科负责督查处务会决定事项的执行，督促有关科室按要求落实，并定期向处务会汇报督查情况。重大事项的落实情况要及时向处务会报告。</w:t>
      </w:r>
    </w:p>
    <w:p w14:paraId="1D6716EA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jc w:val="center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第七章 附 则</w:t>
      </w:r>
    </w:p>
    <w:p w14:paraId="0DD85BD6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 本规定自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后勤保障与资产运营中心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处务会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通过之日起施行。</w:t>
      </w:r>
    </w:p>
    <w:p w14:paraId="4B370718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</w:p>
    <w:p w14:paraId="4DFC9471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</w:p>
    <w:p w14:paraId="677A8CB8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E3E3E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b w:val="0"/>
          <w:bCs w:val="0"/>
          <w:color w:val="3E3E3E"/>
          <w:sz w:val="32"/>
          <w:szCs w:val="32"/>
          <w:lang w:eastAsia="zh-CN"/>
        </w:rPr>
        <w:t>：后勤保障与资产运营中心</w:t>
      </w:r>
      <w:r>
        <w:rPr>
          <w:rFonts w:hint="eastAsia" w:ascii="仿宋_GB2312" w:hAnsi="仿宋_GB2312" w:eastAsia="仿宋_GB2312" w:cs="仿宋_GB2312"/>
          <w:b w:val="0"/>
          <w:bCs w:val="0"/>
          <w:color w:val="3E3E3E"/>
          <w:sz w:val="32"/>
          <w:szCs w:val="32"/>
        </w:rPr>
        <w:t>处务会议题申报表</w:t>
      </w:r>
    </w:p>
    <w:p w14:paraId="733278CA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0" w:firstLineChars="20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</w:pPr>
    </w:p>
    <w:p w14:paraId="6961EA39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0" w:firstLineChars="20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</w:pPr>
    </w:p>
    <w:p w14:paraId="0276A03E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0" w:firstLineChars="20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</w:pPr>
    </w:p>
    <w:p w14:paraId="76F9EDCB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eastAsia="zh-CN"/>
        </w:rPr>
        <w:t>后勤保障与资产运营中心</w:t>
      </w:r>
    </w:p>
    <w:p w14:paraId="0E5CCBE9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rPr>
          <w:rStyle w:val="8"/>
          <w:rFonts w:hint="eastAsia" w:ascii="华文仿宋" w:hAnsi="华文仿宋" w:cs="华文仿宋"/>
          <w:color w:val="3E3E3E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 xml:space="preserve">                 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3E3E3E"/>
          <w:sz w:val="32"/>
          <w:szCs w:val="32"/>
        </w:rPr>
        <w:t>日</w:t>
      </w:r>
    </w:p>
    <w:p w14:paraId="1BC02742"/>
    <w:p w14:paraId="76B2699C"/>
    <w:p w14:paraId="78E190A7"/>
    <w:p w14:paraId="4DB81AC3"/>
    <w:p w14:paraId="1B00CBD4"/>
    <w:p w14:paraId="40169172"/>
    <w:p w14:paraId="4F1DB808"/>
    <w:p w14:paraId="4F25BE00"/>
    <w:p w14:paraId="30BB46CC">
      <w:pPr>
        <w:pStyle w:val="5"/>
        <w:ind w:left="0" w:leftChars="0" w:firstLine="0" w:firstLineChars="0"/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3E3E3E"/>
          <w:sz w:val="32"/>
          <w:szCs w:val="32"/>
          <w:lang w:val="en-US" w:eastAsia="zh-CN"/>
        </w:rPr>
        <w:t>附件1</w:t>
      </w:r>
    </w:p>
    <w:p w14:paraId="56B07BA7">
      <w:pPr>
        <w:pStyle w:val="5"/>
        <w:ind w:firstLine="1084" w:firstLineChars="300"/>
        <w:rPr>
          <w:rFonts w:cs="华文仿宋" w:asciiTheme="majorEastAsia" w:hAnsiTheme="majorEastAsia" w:eastAsiaTheme="majorEastAsia"/>
          <w:color w:val="3E3E3E"/>
          <w:sz w:val="36"/>
          <w:szCs w:val="36"/>
        </w:rPr>
      </w:pPr>
      <w:r>
        <w:rPr>
          <w:rStyle w:val="8"/>
          <w:rFonts w:hint="eastAsia" w:cs="华文仿宋" w:asciiTheme="majorEastAsia" w:hAnsiTheme="majorEastAsia" w:eastAsiaTheme="majorEastAsia"/>
          <w:color w:val="3E3E3E"/>
          <w:sz w:val="36"/>
          <w:szCs w:val="36"/>
          <w:lang w:val="en-US" w:eastAsia="zh-CN"/>
        </w:rPr>
        <w:t>后勤保障与资产运营中心</w:t>
      </w:r>
      <w:r>
        <w:rPr>
          <w:rStyle w:val="8"/>
          <w:rFonts w:hint="eastAsia" w:cs="华文仿宋" w:asciiTheme="majorEastAsia" w:hAnsiTheme="majorEastAsia" w:eastAsiaTheme="majorEastAsia"/>
          <w:color w:val="3E3E3E"/>
          <w:sz w:val="36"/>
          <w:szCs w:val="36"/>
        </w:rPr>
        <w:t>处务会议题申报表</w:t>
      </w:r>
    </w:p>
    <w:tbl>
      <w:tblPr>
        <w:tblStyle w:val="6"/>
        <w:tblW w:w="9986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506"/>
        <w:gridCol w:w="1500"/>
        <w:gridCol w:w="1482"/>
        <w:gridCol w:w="986"/>
        <w:gridCol w:w="2244"/>
      </w:tblGrid>
      <w:tr w14:paraId="33C39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  <w:tblCellSpacing w:w="0" w:type="dxa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18F5F9">
            <w:pPr>
              <w:pStyle w:val="5"/>
              <w:jc w:val="both"/>
              <w:rPr>
                <w:rFonts w:cs="华文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  <w:t>申报科室</w:t>
            </w:r>
          </w:p>
        </w:tc>
        <w:tc>
          <w:tcPr>
            <w:tcW w:w="15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3A7197">
            <w:pPr>
              <w:ind w:firstLine="280" w:firstLineChars="100"/>
              <w:rPr>
                <w:rFonts w:cs="华文仿宋" w:asciiTheme="majorEastAsia" w:hAnsiTheme="majorEastAsia" w:eastAsiaTheme="majorEastAsia"/>
                <w:color w:val="3E3E3E"/>
                <w:sz w:val="28"/>
                <w:szCs w:val="28"/>
              </w:rPr>
            </w:pP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  <w:t>基建科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9AAD6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cs="华文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  <w:lang w:val="en-US" w:eastAsia="zh-CN"/>
              </w:rPr>
              <w:t>科室</w:t>
            </w: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  <w:t>负责人签字</w:t>
            </w:r>
          </w:p>
        </w:tc>
        <w:tc>
          <w:tcPr>
            <w:tcW w:w="14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D02C11">
            <w:pPr>
              <w:rPr>
                <w:rFonts w:cs="华文仿宋" w:asciiTheme="majorEastAsia" w:hAnsiTheme="majorEastAsia" w:eastAsiaTheme="majorEastAsia"/>
                <w:color w:val="3E3E3E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838A1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</w:pP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  <w:t>申报</w:t>
            </w:r>
          </w:p>
          <w:p w14:paraId="66F62B2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cs="华文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  <w:t>时间</w:t>
            </w:r>
          </w:p>
        </w:tc>
        <w:tc>
          <w:tcPr>
            <w:tcW w:w="22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7F932C">
            <w:pP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  <w:lang w:eastAsia="zh-CN"/>
              </w:rPr>
            </w:pPr>
          </w:p>
        </w:tc>
      </w:tr>
      <w:tr w14:paraId="209B4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1B4C79">
            <w:pPr>
              <w:pStyle w:val="5"/>
              <w:jc w:val="both"/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</w:pP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  <w:t>议题</w:t>
            </w:r>
          </w:p>
        </w:tc>
        <w:tc>
          <w:tcPr>
            <w:tcW w:w="771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71DB9A">
            <w:pPr>
              <w:jc w:val="center"/>
              <w:rPr>
                <w:rFonts w:cs="华文仿宋" w:asciiTheme="majorEastAsia" w:hAnsiTheme="majorEastAsia"/>
                <w:color w:val="3E3E3E"/>
                <w:sz w:val="30"/>
                <w:szCs w:val="30"/>
              </w:rPr>
            </w:pPr>
          </w:p>
        </w:tc>
      </w:tr>
      <w:tr w14:paraId="33962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9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E1CC7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auto"/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</w:pP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  <w:t>申报科室意见、建议或解决方案</w:t>
            </w:r>
          </w:p>
        </w:tc>
        <w:tc>
          <w:tcPr>
            <w:tcW w:w="771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6B5401">
            <w:pPr>
              <w:ind w:firstLine="600" w:firstLineChars="200"/>
              <w:jc w:val="left"/>
              <w:rPr>
                <w:rFonts w:cs="华文仿宋" w:asciiTheme="majorEastAsia" w:hAnsiTheme="majorEastAsia" w:eastAsiaTheme="majorEastAsia"/>
                <w:color w:val="3E3E3E"/>
                <w:sz w:val="30"/>
                <w:szCs w:val="30"/>
              </w:rPr>
            </w:pPr>
          </w:p>
        </w:tc>
      </w:tr>
      <w:tr w14:paraId="678D5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73809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60" w:leftChars="0" w:hanging="560" w:hangingChars="200"/>
              <w:jc w:val="both"/>
              <w:textAlignment w:val="auto"/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</w:pP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  <w:lang w:val="en-US" w:eastAsia="zh-CN"/>
              </w:rPr>
              <w:t>中心</w:t>
            </w: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  <w:t>分管</w:t>
            </w: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  <w:lang w:val="en-US" w:eastAsia="zh-CN"/>
              </w:rPr>
              <w:t>副主任</w:t>
            </w: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  <w:t>初审意见</w:t>
            </w:r>
          </w:p>
        </w:tc>
        <w:tc>
          <w:tcPr>
            <w:tcW w:w="771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C7854B">
            <w:pPr>
              <w:rPr>
                <w:rFonts w:cs="华文仿宋" w:asciiTheme="majorEastAsia" w:hAnsiTheme="majorEastAsia" w:eastAsiaTheme="majorEastAsia"/>
                <w:color w:val="3E3E3E"/>
                <w:sz w:val="30"/>
                <w:szCs w:val="30"/>
              </w:rPr>
            </w:pPr>
          </w:p>
        </w:tc>
      </w:tr>
      <w:tr w14:paraId="7FA75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E533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  <w:lang w:val="en-US" w:eastAsia="zh-CN"/>
              </w:rPr>
              <w:t>中心主任</w:t>
            </w:r>
          </w:p>
          <w:p w14:paraId="19ECA8F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</w:rPr>
            </w:pPr>
            <w:r>
              <w:rPr>
                <w:rFonts w:hint="eastAsia" w:cs="华文仿宋" w:asciiTheme="majorEastAsia" w:hAnsiTheme="majorEastAsia" w:eastAsiaTheme="majorEastAsia"/>
                <w:color w:val="3E3E3E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71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92EFD6">
            <w:pPr>
              <w:rPr>
                <w:rFonts w:cs="华文仿宋" w:asciiTheme="majorEastAsia" w:hAnsiTheme="majorEastAsia" w:eastAsiaTheme="majorEastAsia"/>
                <w:color w:val="3E3E3E"/>
                <w:sz w:val="30"/>
                <w:szCs w:val="30"/>
              </w:rPr>
            </w:pPr>
          </w:p>
        </w:tc>
      </w:tr>
    </w:tbl>
    <w:p w14:paraId="5AC4A26E">
      <w:pPr>
        <w:pStyle w:val="5"/>
      </w:pPr>
      <w:r>
        <w:rPr>
          <w:rFonts w:hint="eastAsia" w:cs="华文仿宋" w:asciiTheme="majorEastAsia" w:hAnsiTheme="majorEastAsia" w:eastAsiaTheme="majorEastAsia"/>
          <w:color w:val="FF0000"/>
        </w:rPr>
        <w:t>备注：请</w:t>
      </w:r>
      <w:r>
        <w:rPr>
          <w:rFonts w:hint="eastAsia" w:cs="华文仿宋" w:asciiTheme="majorEastAsia" w:hAnsiTheme="majorEastAsia" w:eastAsiaTheme="majorEastAsia"/>
          <w:color w:val="FF0000"/>
          <w:lang w:val="en-US" w:eastAsia="zh-CN"/>
        </w:rPr>
        <w:t>议题</w:t>
      </w:r>
      <w:r>
        <w:rPr>
          <w:rFonts w:hint="eastAsia" w:cs="华文仿宋" w:asciiTheme="majorEastAsia" w:hAnsiTheme="majorEastAsia" w:eastAsiaTheme="majorEastAsia"/>
          <w:color w:val="FF0000"/>
        </w:rPr>
        <w:t>申报科室填写本表（含会议材料），</w:t>
      </w:r>
      <w:r>
        <w:rPr>
          <w:rFonts w:hint="eastAsia" w:cs="华文仿宋" w:asciiTheme="majorEastAsia" w:hAnsiTheme="majorEastAsia" w:eastAsiaTheme="majorEastAsia"/>
          <w:color w:val="FF0000"/>
          <w:lang w:val="en-US" w:eastAsia="zh-CN"/>
        </w:rPr>
        <w:t>经部门领导审核通过后，</w:t>
      </w:r>
      <w:r>
        <w:rPr>
          <w:rFonts w:hint="eastAsia" w:cs="华文仿宋" w:asciiTheme="majorEastAsia" w:hAnsiTheme="majorEastAsia" w:eastAsiaTheme="majorEastAsia"/>
          <w:color w:val="FF0000"/>
        </w:rPr>
        <w:t>于会前</w:t>
      </w:r>
      <w:r>
        <w:rPr>
          <w:rFonts w:hint="eastAsia" w:cs="华文仿宋" w:asciiTheme="majorEastAsia" w:hAnsiTheme="majorEastAsia" w:eastAsiaTheme="majorEastAsia"/>
          <w:color w:val="FF0000"/>
          <w:lang w:val="en-US" w:eastAsia="zh-CN"/>
        </w:rPr>
        <w:t>1</w:t>
      </w:r>
      <w:r>
        <w:rPr>
          <w:rFonts w:hint="eastAsia" w:cs="华文仿宋" w:asciiTheme="majorEastAsia" w:hAnsiTheme="majorEastAsia" w:eastAsiaTheme="majorEastAsia"/>
          <w:color w:val="FF0000"/>
        </w:rPr>
        <w:t>天报送综合科</w:t>
      </w:r>
      <w:r>
        <w:rPr>
          <w:rFonts w:hint="eastAsia" w:cs="华文仿宋" w:asciiTheme="majorEastAsia" w:hAnsiTheme="majorEastAsia" w:eastAsiaTheme="majorEastAsia"/>
          <w:color w:val="FF0000"/>
          <w:lang w:eastAsia="zh-CN"/>
        </w:rPr>
        <w:t>（</w:t>
      </w:r>
      <w:r>
        <w:rPr>
          <w:rFonts w:hint="eastAsia" w:cs="华文仿宋" w:asciiTheme="majorEastAsia" w:hAnsiTheme="majorEastAsia" w:eastAsiaTheme="majorEastAsia"/>
          <w:color w:val="FF0000"/>
          <w:lang w:val="en-US" w:eastAsia="zh-CN"/>
        </w:rPr>
        <w:t>同时</w:t>
      </w:r>
      <w:r>
        <w:rPr>
          <w:rFonts w:hint="eastAsia" w:cs="华文仿宋" w:asciiTheme="majorEastAsia" w:hAnsiTheme="majorEastAsia" w:eastAsiaTheme="majorEastAsia"/>
          <w:color w:val="FF0000"/>
        </w:rPr>
        <w:t>报</w:t>
      </w:r>
      <w:r>
        <w:rPr>
          <w:rFonts w:hint="eastAsia" w:ascii="华文仿宋" w:hAnsi="华文仿宋" w:eastAsia="华文仿宋" w:cs="华文仿宋"/>
          <w:color w:val="FF0000"/>
        </w:rPr>
        <w:t>送电子</w:t>
      </w:r>
      <w:r>
        <w:rPr>
          <w:rFonts w:hint="eastAsia" w:ascii="华文仿宋" w:hAnsi="华文仿宋" w:eastAsia="华文仿宋" w:cs="华文仿宋"/>
          <w:color w:val="FF0000"/>
          <w:lang w:val="en-US" w:eastAsia="zh-CN"/>
        </w:rPr>
        <w:t>版）</w:t>
      </w:r>
      <w:r>
        <w:rPr>
          <w:rFonts w:hint="eastAsia" w:ascii="华文仿宋" w:hAnsi="华文仿宋" w:eastAsia="华文仿宋" w:cs="华文仿宋"/>
          <w:color w:val="FF0000"/>
        </w:rPr>
        <w:t>。</w:t>
      </w:r>
    </w:p>
    <w:sectPr>
      <w:headerReference r:id="rId5" w:type="default"/>
      <w:footerReference r:id="rId6" w:type="default"/>
      <w:pgSz w:w="11906" w:h="16838"/>
      <w:pgMar w:top="1440" w:right="1576" w:bottom="1440" w:left="157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Angsana New">
    <w:altName w:val="DejaVu Math TeX Gyre"/>
    <w:panose1 w:val="02020603050005020304"/>
    <w:charset w:val="00"/>
    <w:family w:val="roman"/>
    <w:pitch w:val="default"/>
    <w:sig w:usb0="00000000" w:usb1="00000000" w:usb2="00000000" w:usb3="00000000" w:csb0="0001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2A6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527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527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B249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D7DE0"/>
    <w:multiLevelType w:val="singleLevel"/>
    <w:tmpl w:val="E70D7D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B0304"/>
    <w:rsid w:val="11AF449E"/>
    <w:rsid w:val="13122A85"/>
    <w:rsid w:val="1B027EED"/>
    <w:rsid w:val="202F7020"/>
    <w:rsid w:val="2CDC1C2A"/>
    <w:rsid w:val="2D193748"/>
    <w:rsid w:val="38B56DB4"/>
    <w:rsid w:val="71980F89"/>
    <w:rsid w:val="7252741C"/>
    <w:rsid w:val="740A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83" w:firstLineChars="200"/>
      <w:jc w:val="both"/>
    </w:pPr>
    <w:rPr>
      <w:rFonts w:ascii="Times New Roman" w:hAnsi="Times New Roman" w:eastAsia="华文仿宋" w:cs="Times New Roman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center"/>
      <w:outlineLvl w:val="1"/>
    </w:pPr>
    <w:rPr>
      <w:rFonts w:hint="eastAsia" w:ascii="宋体" w:hAnsi="宋体" w:eastAsia="仿宋" w:cs="Angsana New"/>
      <w:b/>
      <w:kern w:val="0"/>
      <w:sz w:val="36"/>
      <w:szCs w:val="36"/>
      <w:lang w:bidi="th-TH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2025-03-11T07:42:00Z</dcterms:created>
  <dc:creator>hp</dc:creator>
  <cp:lastModifiedBy>林亚琼</cp:lastModifiedBy>
  <dcterms:modified xsi:type="dcterms:W3CDTF">2025-11-20T08:00:06Z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08E0AF63295445B9948FDC137CAE9C3C_12</vt:lpwstr>
  </property>
</Properties>
</file>